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X33e0caa9569b2c7f082531ec234590b975e9682"/>
    <w:p>
      <w:pPr>
        <w:pStyle w:val="Heading2"/>
      </w:pPr>
      <w:r>
        <w:t xml:space="preserve">Relatório Final de Análise do Caso – Conclusões e Lições Aprendidas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Declarativo de Incumprimento de Contrato de Prestação de Serviços</w:t>
      </w:r>
      <w:r>
        <w:br/>
      </w:r>
      <w:r>
        <w:rPr>
          <w:b/>
          <w:bCs/>
        </w:rPr>
        <w:t xml:space="preserve">Autor / Requerente:</w:t>
      </w:r>
      <w:r>
        <w:t xml:space="preserve"> </w:t>
      </w:r>
      <w:r>
        <w:t xml:space="preserve">XYZ – Serviços de Tecnologia, Lda., NIF 504 321 987, sede em Avenida da Liberdade, 45, 1250‑147 Lisboa</w:t>
      </w:r>
      <w:r>
        <w:br/>
      </w:r>
      <w:r>
        <w:rPr>
          <w:b/>
          <w:bCs/>
        </w:rPr>
        <w:t xml:space="preserve">Réu / Requerido:</w:t>
      </w:r>
      <w:r>
        <w:t xml:space="preserve"> </w:t>
      </w:r>
      <w:r>
        <w:t xml:space="preserve">ABC – Consultoria Empresarial, Lda., NIF 212 654 321, sede em Rua de São Bento, 78, 4000‑123 Porto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João Silva (OA 12345) e Dra. Maria Fernandes (OA 67890) – Advogados da XYZ – Serviços de Tecnologia, Lda.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</w:t>
      </w:r>
      <w:r>
        <w:br/>
      </w:r>
      <w:r>
        <w:rPr>
          <w:b/>
          <w:bCs/>
        </w:rPr>
        <w:t xml:space="preserve">Data de conclusão do relatório:</w:t>
      </w:r>
      <w:r>
        <w:t xml:space="preserve"> </w:t>
      </w:r>
      <w:r>
        <w:t xml:space="preserve">18 de fevereiro de 2026</w:t>
      </w:r>
    </w:p>
    <w:p>
      <w:r>
        <w:pict>
          <v:rect style="width:0;height:1.5pt" o:hralign="center" o:hrstd="t" o:hr="t"/>
        </w:pict>
      </w:r>
    </w:p>
    <w:bookmarkStart w:id="9" w:name="introdução"/>
    <w:p>
      <w:pPr>
        <w:pStyle w:val="Heading3"/>
      </w:pPr>
      <w:r>
        <w:t xml:space="preserve">1. Introdução</w:t>
      </w:r>
    </w:p>
    <w:p>
      <w:pPr>
        <w:pStyle w:val="FirstParagraph"/>
      </w:pPr>
      <w:r>
        <w:t xml:space="preserve">O presente relatório tem por finalidade apresentar uma avaliação crítica do processo judicial descrito, identificando os pontos fortes da estratégia adotada pela XYZ – Serviços de Tecnologia, Lda., bem como as áreas que revelaram oportunidades de melhoria para futuros litígios contratuais. A análise incide sobre a fase de instrução, a sustentação oral, a decisão judicial e a execução da sentença, com especial destaque para a aplicação do Código Civil e do Código de Processo Civil (CPC) ao caso concreto.</w:t>
      </w:r>
    </w:p>
    <w:p>
      <w:r>
        <w:pict>
          <v:rect style="width:0;height:1.5pt" o:hralign="center" o:hrstd="t" o:hr="t"/>
        </w:pict>
      </w:r>
    </w:p>
    <w:bookmarkEnd w:id="9"/>
    <w:bookmarkStart w:id="10" w:name="metodologia"/>
    <w:p>
      <w:pPr>
        <w:pStyle w:val="Heading3"/>
      </w:pPr>
      <w:r>
        <w:t xml:space="preserve">2. Metodologia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30"/>
        <w:gridCol w:w="2562"/>
        <w:gridCol w:w="372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Etapa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Fonte de Dados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Recolha documental</w:t>
            </w:r>
          </w:p>
        </w:tc>
        <w:tc>
          <w:tcPr/>
          <w:p>
            <w:pPr>
              <w:pStyle w:val="Compact"/>
            </w:pPr>
            <w:r>
              <w:t xml:space="preserve">Análise dos autos, incluindo a petição inicial, contestação, documentos probatórios (contratos, faturas, e‑mails) e laudos periciais.</w:t>
            </w:r>
          </w:p>
        </w:tc>
        <w:tc>
          <w:tcPr/>
          <w:p>
            <w:pPr>
              <w:pStyle w:val="Compact"/>
            </w:pPr>
            <w:r>
              <w:t xml:space="preserve">Processo nº 1234/24.5T8LSB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Entrevistas</w:t>
            </w:r>
          </w:p>
        </w:tc>
        <w:tc>
          <w:tcPr/>
          <w:p>
            <w:pPr>
              <w:pStyle w:val="Compact"/>
            </w:pPr>
            <w:r>
              <w:t xml:space="preserve">Conversas estruturadas com os mandatários, peritos e gestores de projeto das partes.</w:t>
            </w:r>
          </w:p>
        </w:tc>
        <w:tc>
          <w:tcPr/>
          <w:p>
            <w:pPr>
              <w:pStyle w:val="Compact"/>
            </w:pPr>
            <w:r>
              <w:t xml:space="preserve">Registo interno da XYZ – Serviços de Tecnologia, Lda.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Revisão jurisprudencial</w:t>
            </w:r>
          </w:p>
        </w:tc>
        <w:tc>
          <w:tcPr/>
          <w:p>
            <w:pPr>
              <w:pStyle w:val="Compact"/>
            </w:pPr>
            <w:r>
              <w:t xml:space="preserve">Pesquisa de jurisprudência do Supremo Tribunal de Justiça (STJ) e do Tribunal da Relação de Lisboa relativa a incumprimento grave e resolução de contrato.</w:t>
            </w:r>
          </w:p>
        </w:tc>
        <w:tc>
          <w:tcPr/>
          <w:p>
            <w:pPr>
              <w:pStyle w:val="Compact"/>
            </w:pPr>
            <w:r>
              <w:t xml:space="preserve">Base de dados jurídica (Jurisprudência.pt)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Avaliação de custos</w:t>
            </w:r>
          </w:p>
        </w:tc>
        <w:tc>
          <w:tcPr/>
          <w:p>
            <w:pPr>
              <w:pStyle w:val="Compact"/>
            </w:pPr>
            <w:r>
              <w:t xml:space="preserve">Cálculo de despesas processuais, honorários e perdas patrimoniais alegadas.</w:t>
            </w:r>
          </w:p>
        </w:tc>
        <w:tc>
          <w:tcPr/>
          <w:p>
            <w:pPr>
              <w:pStyle w:val="Compact"/>
            </w:pPr>
            <w:r>
              <w:t xml:space="preserve">Folha de custos da XYZ – Serviços de Tecnologia, Lda.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 Síntese e recomendações</w:t>
            </w:r>
          </w:p>
        </w:tc>
        <w:tc>
          <w:tcPr/>
          <w:p>
            <w:pPr>
              <w:pStyle w:val="Compact"/>
            </w:pPr>
            <w:r>
              <w:t xml:space="preserve">Consolidação dos resultados e formulação de lições aprendidas.</w:t>
            </w:r>
          </w:p>
        </w:tc>
        <w:tc>
          <w:tcPr/>
          <w:p>
            <w:pPr>
              <w:pStyle w:val="Compact"/>
            </w:pPr>
            <w:r>
              <w:t xml:space="preserve">Relatório final (presente documento)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3" w:name="Xab01ecfe662c2e053062afff4f9359210eb92c0"/>
    <w:p>
      <w:pPr>
        <w:pStyle w:val="Heading3"/>
      </w:pPr>
      <w:r>
        <w:t xml:space="preserve">3. Análise dos Factos e da Fundamentação Jurídica</w:t>
      </w:r>
    </w:p>
    <w:bookmarkStart w:id="11" w:name="factos-relevantes"/>
    <w:p>
      <w:pPr>
        <w:pStyle w:val="Heading4"/>
      </w:pPr>
      <w:r>
        <w:t xml:space="preserve">3.1. Factos relevantes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Contrato de prestação de serviços</w:t>
      </w:r>
      <w:r>
        <w:t xml:space="preserve"> </w:t>
      </w:r>
      <w:r>
        <w:t xml:space="preserve">– celebrado em 12 de janeiro de 2022, com vigência até 31 de dezembro de 2024, tendo como objeto a implementação de uma plataforma de gestão empresarial para a ABC – Consultoria Empresarial, Lda.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Obrigações da ré</w:t>
      </w:r>
      <w:r>
        <w:t xml:space="preserve"> </w:t>
      </w:r>
      <w:r>
        <w:t xml:space="preserve">– entrega de especificações técnicas, disponibilização de equipa de consultoria e cumprimento dos prazos de entrega previstos nos anexos A e B do contrato.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Incumprimento grave</w:t>
      </w:r>
      <w:r>
        <w:t xml:space="preserve"> </w:t>
      </w:r>
      <w:r>
        <w:t xml:space="preserve">– a ré não entregou o relatório de requisitos até 30 de junho de 2023, atrasou a fase de testes em 90 dias e, ainda, recusou‑se a aceitar as correções técnicas apresentadas pela XYZ, configurando violação substancial das obrigações essenciais.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Pagamentos antecipados</w:t>
      </w:r>
      <w:r>
        <w:t xml:space="preserve"> </w:t>
      </w:r>
      <w:r>
        <w:t xml:space="preserve">– a XYZ recebeu € 250 000,00 a título de adiantamento, dos quais € 150 000,00 permanecem não utilizados devido ao paralismo das obras.</w:t>
      </w:r>
    </w:p>
    <w:bookmarkEnd w:id="11"/>
    <w:bookmarkStart w:id="12" w:name="fundamentação-jurídica-aplicada"/>
    <w:p>
      <w:pPr>
        <w:pStyle w:val="Heading4"/>
      </w:pPr>
      <w:r>
        <w:t xml:space="preserve">3.2. Fundamentação jurídica aplicada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Artigos 473.º a 476.º do Código Civil</w:t>
      </w:r>
      <w:r>
        <w:t xml:space="preserve"> </w:t>
      </w:r>
      <w:r>
        <w:t xml:space="preserve">– resolução do contrato por incumprimento grave.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Artigos 798.º e seguintes do CPC</w:t>
      </w:r>
      <w:r>
        <w:t xml:space="preserve"> </w:t>
      </w:r>
      <w:r>
        <w:t xml:space="preserve">– pedido de declaração de resolução, restituição de quantias pagas e indemnização por perdas e danos.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Jurisprudência</w:t>
      </w:r>
      <w:r>
        <w:t xml:space="preserve"> </w:t>
      </w:r>
      <w:r>
        <w:t xml:space="preserve">– STJ, Acórdão 112/23.2T8LTS, que reconhece a possibilidade de resolução imediata quando o incumprimento afeta a finalidade principal do contrato.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14" w:name="pontos-fortes-da-estratégia-jurídica"/>
    <w:p>
      <w:pPr>
        <w:pStyle w:val="Heading3"/>
      </w:pPr>
      <w:r>
        <w:t xml:space="preserve">4. Pontos Fortes da Estratégia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27"/>
        <w:gridCol w:w="3350"/>
        <w:gridCol w:w="274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Área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Impacto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Preparação probatória</w:t>
            </w:r>
          </w:p>
        </w:tc>
        <w:tc>
          <w:tcPr/>
          <w:p>
            <w:pPr>
              <w:pStyle w:val="Compact"/>
            </w:pPr>
            <w:r>
              <w:t xml:space="preserve">Recolha antecipada de e‑mails, cronogramas de projeto e relatórios de auditoria interna, organizados em ordem cronológica.</w:t>
            </w:r>
          </w:p>
        </w:tc>
        <w:tc>
          <w:tcPr/>
          <w:p>
            <w:pPr>
              <w:pStyle w:val="Compact"/>
            </w:pPr>
            <w:r>
              <w:t xml:space="preserve">Fortaleceu a demonstração do incumprimento e da gravidade do mesmo.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Argumentação jurídica</w:t>
            </w:r>
          </w:p>
        </w:tc>
        <w:tc>
          <w:tcPr/>
          <w:p>
            <w:pPr>
              <w:pStyle w:val="Compact"/>
            </w:pPr>
            <w:r>
              <w:t xml:space="preserve">Utilização precisa dos artigos 473.º e 474.º do Código Civil, reforçada por jurisprudência atualizada.</w:t>
            </w:r>
          </w:p>
        </w:tc>
        <w:tc>
          <w:tcPr/>
          <w:p>
            <w:pPr>
              <w:pStyle w:val="Compact"/>
            </w:pPr>
            <w:r>
              <w:t xml:space="preserve">Contribuiu para a fundamentação robusta da petição inicial.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Gestão de custos</w:t>
            </w:r>
          </w:p>
        </w:tc>
        <w:tc>
          <w:tcPr/>
          <w:p>
            <w:pPr>
              <w:pStyle w:val="Compact"/>
            </w:pPr>
            <w:r>
              <w:t xml:space="preserve">Apresentação de uma tabela detalhada de perdas patrimoniais, incluindo custos de oportunidade e despesas operacionais evitáveis.</w:t>
            </w:r>
          </w:p>
        </w:tc>
        <w:tc>
          <w:tcPr/>
          <w:p>
            <w:pPr>
              <w:pStyle w:val="Compact"/>
            </w:pPr>
            <w:r>
              <w:t xml:space="preserve">Permitiu a quantificação clara dos danos, facilitando a fixação da indemnização.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Sustentação oral</w:t>
            </w:r>
          </w:p>
        </w:tc>
        <w:tc>
          <w:tcPr/>
          <w:p>
            <w:pPr>
              <w:pStyle w:val="Compact"/>
            </w:pPr>
            <w:r>
              <w:t xml:space="preserve">Intervenção concisa do Dr. João Silva, com apoio visual (slides) que resumiam o cronograma de incumprimento.</w:t>
            </w:r>
          </w:p>
        </w:tc>
        <w:tc>
          <w:tcPr/>
          <w:p>
            <w:pPr>
              <w:pStyle w:val="Compact"/>
            </w:pPr>
            <w:r>
              <w:t xml:space="preserve">Ajudou a captar a atenção do juiz e a reforçar a narrativa factual.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Cumprimento dos prazos processuais</w:t>
            </w:r>
          </w:p>
        </w:tc>
        <w:tc>
          <w:tcPr/>
          <w:p>
            <w:pPr>
              <w:pStyle w:val="Compact"/>
            </w:pPr>
            <w:r>
              <w:t xml:space="preserve">Depósito atempado de todos os documentos e cumprimento rigoroso dos prazos de réplica e reconvenção.</w:t>
            </w:r>
          </w:p>
        </w:tc>
        <w:tc>
          <w:tcPr/>
          <w:p>
            <w:pPr>
              <w:pStyle w:val="Compact"/>
            </w:pPr>
            <w:r>
              <w:t xml:space="preserve">Evitou a incidência de sanções processuais e manteve a fluidez do processo.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áreas-de-melhoria-identificadas"/>
    <w:p>
      <w:pPr>
        <w:pStyle w:val="Heading3"/>
      </w:pPr>
      <w:r>
        <w:t xml:space="preserve">5. Áreas de Melhoria Identificadas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31"/>
        <w:gridCol w:w="2640"/>
        <w:gridCol w:w="414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Área</w:t>
            </w:r>
          </w:p>
        </w:tc>
        <w:tc>
          <w:tcPr/>
          <w:p>
            <w:pPr>
              <w:pStyle w:val="Compact"/>
            </w:pPr>
            <w:r>
              <w:t xml:space="preserve">Deficiência</w:t>
            </w:r>
          </w:p>
        </w:tc>
        <w:tc>
          <w:tcPr/>
          <w:p>
            <w:pPr>
              <w:pStyle w:val="Compact"/>
            </w:pPr>
            <w:r>
              <w:t xml:space="preserve">Proposta de Melhoria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com a parte contrária</w:t>
            </w:r>
          </w:p>
        </w:tc>
        <w:tc>
          <w:tcPr/>
          <w:p>
            <w:pPr>
              <w:pStyle w:val="Compact"/>
            </w:pPr>
            <w:r>
              <w:t xml:space="preserve">Falta de tentativas de mediação prévia, o que poderia ter reduzido a necessidade de litígio.</w:t>
            </w:r>
          </w:p>
        </w:tc>
        <w:tc>
          <w:tcPr/>
          <w:p>
            <w:pPr>
              <w:pStyle w:val="Compact"/>
            </w:pPr>
            <w:r>
              <w:t xml:space="preserve">Incluir cláusula de mediação obrigatória no contrato e iniciar procedimentos de conciliação antes de recorrer ao tribunal.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Gestão documental eletrónica</w:t>
            </w:r>
          </w:p>
        </w:tc>
        <w:tc>
          <w:tcPr/>
          <w:p>
            <w:pPr>
              <w:pStyle w:val="Compact"/>
            </w:pPr>
            <w:r>
              <w:t xml:space="preserve">Alguns documentos foram arquivados em formato PDF não indexado, dificultando a pesquisa rápida.</w:t>
            </w:r>
          </w:p>
        </w:tc>
        <w:tc>
          <w:tcPr/>
          <w:p>
            <w:pPr>
              <w:pStyle w:val="Compact"/>
            </w:pPr>
            <w:r>
              <w:t xml:space="preserve">Implementar um sistema de gestão documental com metadados e pesquisa avançada.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Análise de risco contratual</w:t>
            </w:r>
          </w:p>
        </w:tc>
        <w:tc>
          <w:tcPr/>
          <w:p>
            <w:pPr>
              <w:pStyle w:val="Compact"/>
            </w:pPr>
            <w:r>
              <w:t xml:space="preserve">Ausência de avaliação de risco de incumprimento antes da assinatura do contrato.</w:t>
            </w:r>
          </w:p>
        </w:tc>
        <w:tc>
          <w:tcPr/>
          <w:p>
            <w:pPr>
              <w:pStyle w:val="Compact"/>
            </w:pPr>
            <w:r>
              <w:t xml:space="preserve">Realizar due diligence jurídica e financeira da contraparte e inserir cláusulas de penalização escalonada.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Planeamento de peritagem</w:t>
            </w:r>
          </w:p>
        </w:tc>
        <w:tc>
          <w:tcPr/>
          <w:p>
            <w:pPr>
              <w:pStyle w:val="Compact"/>
            </w:pPr>
            <w:r>
              <w:t xml:space="preserve">A peritagem foi solicitada apenas após a fase de instrução, atrasando a decisão.</w:t>
            </w:r>
          </w:p>
        </w:tc>
        <w:tc>
          <w:tcPr/>
          <w:p>
            <w:pPr>
              <w:pStyle w:val="Compact"/>
            </w:pPr>
            <w:r>
              <w:t xml:space="preserve">Solicitar peritagem antecipada, preferencialmente no prazo de 30 dias após a contestação, conforme artigo 630.º do CPC.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interna</w:t>
            </w:r>
          </w:p>
        </w:tc>
        <w:tc>
          <w:tcPr/>
          <w:p>
            <w:pPr>
              <w:pStyle w:val="Compact"/>
            </w:pPr>
            <w:r>
              <w:t xml:space="preserve">Falhas na partilha de informação entre a equipa de projeto e a equipa jurídica.</w:t>
            </w:r>
          </w:p>
        </w:tc>
        <w:tc>
          <w:tcPr/>
          <w:p>
            <w:pPr>
              <w:pStyle w:val="Compact"/>
            </w:pPr>
            <w:r>
              <w:t xml:space="preserve">Criar um protocolo interno de reporte de incidentes críticos ao departamento jurídico em tempo real.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X1367352cbd84cdb9823a079469c0ccd7136e8d3"/>
    <w:p>
      <w:pPr>
        <w:pStyle w:val="Heading3"/>
      </w:pPr>
      <w:r>
        <w:t xml:space="preserve">6. Lições Aprendidas para Futuras Ações Judiciais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Integração de cláusulas de resolução automática</w:t>
      </w:r>
      <w:r>
        <w:t xml:space="preserve"> </w:t>
      </w:r>
      <w:r>
        <w:t xml:space="preserve">– Inserir no contrato previsões que permitam a resolução automática após determinado número de dias de atraso injustificado.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Uso estratégico da mediação</w:t>
      </w:r>
      <w:r>
        <w:t xml:space="preserve"> </w:t>
      </w:r>
      <w:r>
        <w:t xml:space="preserve">– Priorizar a resolução extrajudicial para reduzir custos e preservar a reputação empresarial.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Documentação contínua</w:t>
      </w:r>
      <w:r>
        <w:t xml:space="preserve"> </w:t>
      </w:r>
      <w:r>
        <w:t xml:space="preserve">– Manter um registo diário das interacções com a contraparte, especialmente em projetos de alta complexidade tecnológica.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Planeamento pericial precoce</w:t>
      </w:r>
      <w:r>
        <w:t xml:space="preserve"> </w:t>
      </w:r>
      <w:r>
        <w:t xml:space="preserve">– Antecipar a nomeação de peritos para evitar atrasos processuais e garantir que o laudo esteja disponível antes da fase de debate.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Formação contínua da equipa jurídica</w:t>
      </w:r>
      <w:r>
        <w:t xml:space="preserve"> </w:t>
      </w:r>
      <w:r>
        <w:t xml:space="preserve">– Atualizar regularmente os advogados sobre alterações legislativas e jurisprudenciais relevantes ao direito dos contratos e ao CPC.</w:t>
      </w:r>
    </w:p>
    <w:p>
      <w:r>
        <w:pict>
          <v:rect style="width:0;height:1.5pt" o:hralign="center" o:hrstd="t" o:hr="t"/>
        </w:pict>
      </w:r>
    </w:p>
    <w:bookmarkEnd w:id="16"/>
    <w:bookmarkStart w:id="17" w:name="recomendações-práticas"/>
    <w:p>
      <w:pPr>
        <w:pStyle w:val="Heading3"/>
      </w:pPr>
      <w:r>
        <w:t xml:space="preserve">7. Recomendações Práticas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Revisão contratual padrão</w:t>
      </w:r>
      <w:r>
        <w:t xml:space="preserve"> </w:t>
      </w:r>
      <w:r>
        <w:t xml:space="preserve">– Atualizar os modelos de contrato da XYZ – Serviços de Tecnologia, Lda. para incluir:</w:t>
      </w:r>
    </w:p>
    <w:p>
      <w:pPr>
        <w:pStyle w:val="Compact"/>
        <w:numPr>
          <w:ilvl w:val="1"/>
          <w:numId w:val="1005"/>
        </w:numPr>
      </w:pPr>
      <w:r>
        <w:t xml:space="preserve">Cláusula de mediação obrigatória;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Penalizações por incumprimento progressivo;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Procedimentos de notificação eletrónica com comprovativo de leitura.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Implementação de um sistema de gestão de projetos integrado com o jurídico</w:t>
      </w:r>
      <w:r>
        <w:t xml:space="preserve"> </w:t>
      </w:r>
      <w:r>
        <w:t xml:space="preserve">– Ferramenta que permita a ligação automática de marcos de projeto a obrigações contratuais e a geração de alertas de incumprimento.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Criação de um “Manual de Litígios Contratuais”</w:t>
      </w:r>
      <w:r>
        <w:t xml:space="preserve"> </w:t>
      </w:r>
      <w:r>
        <w:t xml:space="preserve">– Documento interno que consolide boas práticas, fluxogramas de atuação e checklist de documentos essenciais.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Acompanhamento pós‑sentença</w:t>
      </w:r>
      <w:r>
        <w:t xml:space="preserve"> </w:t>
      </w:r>
      <w:r>
        <w:t xml:space="preserve">– Designar um responsável para monitorizar o cumprimento da sentença, especialmente a restituição dos € 150 000,00 e o pagamento da indemnização de € 85 000,00 (perdas e danos).</w:t>
      </w:r>
    </w:p>
    <w:p>
      <w:r>
        <w:pict>
          <v:rect style="width:0;height:1.5pt" o:hralign="center" o:hrstd="t" o:hr="t"/>
        </w:pict>
      </w:r>
    </w:p>
    <w:bookmarkEnd w:id="17"/>
    <w:bookmarkStart w:id="18" w:name="conclusão"/>
    <w:p>
      <w:pPr>
        <w:pStyle w:val="Heading3"/>
      </w:pPr>
      <w:r>
        <w:t xml:space="preserve">8. Conclusão</w:t>
      </w:r>
    </w:p>
    <w:p>
      <w:pPr>
        <w:pStyle w:val="FirstParagraph"/>
      </w:pPr>
      <w:r>
        <w:t xml:space="preserve">O processo</w:t>
      </w:r>
      <w:r>
        <w:t xml:space="preserve"> </w:t>
      </w:r>
      <w:r>
        <w:rPr>
          <w:b/>
          <w:bCs/>
        </w:rPr>
        <w:t xml:space="preserve">1234/24.5T8LSB</w:t>
      </w:r>
      <w:r>
        <w:t xml:space="preserve"> </w:t>
      </w:r>
      <w:r>
        <w:t xml:space="preserve">resultou numa decisão favorável à XYZ – Serviços de Tecnologia, Lda., reconhecendo a resolução do contrato, a restituição dos pagamentos antecipados e a condenação da ABC – Consultoria Empresarial, Lda. ao pagamento de indemnização por perdas e danos. A análise demonstra que a preparação probatória meticulosa, a argumentação jurídica bem fundamentada e a gestão rigorosa dos prazos foram determinantes para o êxito. Contudo, a falta de medidas preventivas – nomeadamente a ausência de cláusulas de mediação e de avaliação de risco – revelou vulnerabilidades que deverão ser corrigidas nos procedimentos futuros.</w:t>
      </w:r>
    </w:p>
    <w:p>
      <w:pPr>
        <w:pStyle w:val="BodyText"/>
      </w:pPr>
      <w:r>
        <w:t xml:space="preserve">A implementação das recomendações acima descritas permitirá à XYZ – Serviços de Tecnologia, Lda. otimizar a sua atuação em litígios contratuais, reduzir a exposição a riscos e melhorar a eficiência dos processos internos, assegurando maior proteção dos seus interesses comerciais.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Elaborado por:</w:t>
      </w:r>
      <w:r>
        <w:br/>
      </w:r>
      <w:r>
        <w:t xml:space="preserve">Dr. João Silva – OA 12345</w:t>
      </w:r>
      <w:r>
        <w:br/>
      </w:r>
      <w:r>
        <w:t xml:space="preserve">Dra. Maria Fernandes – OA 67890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18 de fevereiro de 2026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2026-02-22T18:53:15Z</dcterms:created>
  <dcterms:modified xsi:type="dcterms:W3CDTF">2026-02-22T18:53:15Z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